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pPr>
        <w:pStyle w:val="Title"/>
      </w:pPr>
      <w:r>
        <w:t xml:space="preserve">Falls Risk Assessment</w:t>
      </w:r>
    </w:p>
    <w:p>
      <w:pPr>
        <w:pStyle w:val="Guidance"/>
      </w:pPr>
      <w:r>
        <w:t xml:space="preserve">Free template by VircareOS, built for domiciliary care, where the assessment happens in the person's own home. This is a structured, multifactorial prompt set completed with professional judgement: deliberately no scoring system, no thresholds, no high/medium/low cutoffs. Current NICE guidance on falls in older people recommends multifactorial assessment; verify the detail on nice.org.uk. Adapt freely for your agency. Guidance, not legal, clinical or regulatory advice.</w:t>
      </w:r>
    </w:p>
    <w:p/>
    <w:p>
      <w:pPr>
        <w:pStyle w:val="Field"/>
      </w:pPr>
      <w:r>
        <w:t xml:space="preserve">Name of the person:</w:t>
      </w:r>
    </w:p>
    <w:p/>
    <w:p>
      <w:pPr>
        <w:pStyle w:val="Field"/>
      </w:pPr>
      <w:r>
        <w:t xml:space="preserve">Date of assessment:</w:t>
      </w:r>
    </w:p>
    <w:p/>
    <w:p>
      <w:pPr>
        <w:pStyle w:val="Field"/>
      </w:pPr>
      <w:r>
        <w:t xml:space="preserve">Assessed by:</w:t>
      </w:r>
    </w:p>
    <w:p/>
    <w:p>
      <w:pPr>
        <w:pStyle w:val="Field"/>
      </w:pPr>
      <w:r>
        <w:t xml:space="preserve">Contributors (the person, family, carers):</w:t>
      </w:r>
    </w:p>
    <w:p/>
    <w:p>
      <w:pPr>
        <w:pStyle w:val="Field"/>
      </w:pPr>
      <w:r>
        <w:t xml:space="preserve">Planned review date:</w:t>
      </w:r>
    </w:p>
    <w:p/>
    <w:p>
      <w:pPr>
        <w:pStyle w:val="Heading1"/>
      </w:pPr>
      <w:r>
        <w:t xml:space="preserve">1. Falls history: each fall as a story</w:t>
      </w:r>
    </w:p>
    <w:p>
      <w:pPr>
        <w:pStyle w:val="Guidance"/>
      </w:pPr>
      <w:r>
        <w:t xml:space="preserve">For each fall the person remembers (and any falls found by others), record when it happened, where in the home, what the person was doing, any injury, and what changed afterwards: new equipment, new caution, new fear.</w:t>
      </w:r>
    </w:p>
    <w:p>
      <w:pPr>
        <w:pStyle w:val="Guidance"/>
      </w:pPr>
      <w:r>
        <w:t xml:space="preserve">What good looks like: the pattern matters more than the count. Three trips on the same night route to the bathroom tell you more than "two falls this year".</w:t>
      </w:r>
    </w:p>
    <w:p/>
    <w:p/>
    <w:p/>
    <w:p/>
    <w:p/>
    <w:p/>
    <w:p>
      <w:pPr>
        <w:pStyle w:val="Heading1"/>
      </w:pPr>
      <w:r>
        <w:t xml:space="preserve">2. Health factors: prompts for judgement, not scores</w:t>
      </w:r>
    </w:p>
    <w:p>
      <w:pPr>
        <w:pStyle w:val="Guidance"/>
      </w:pPr>
      <w:r>
        <w:t xml:space="preserve">Work through each prompt with the person and record what you observe and what they tell you. Flag anything that needs the right professional rather than diagnosing it yourself.</w:t>
      </w:r>
    </w:p>
    <w:p>
      <w:pPr>
        <w:pStyle w:val="Guidance"/>
      </w:pPr>
      <w:r>
        <w:t xml:space="preserve">Prompts: mobility and balance (how they move, transfers, whether walking aids are actually used); medication (anything causing dizziness or drowsiness, recent changes; flag for a prescriber or pharmacist review); vision (are glasses worn and current, can they see the night route); continence (urgency, night-time trips); cognition and confusion (do they remember the aid, can they judge hazards); footwear (what they actually wear at home).</w:t>
      </w:r>
    </w:p>
    <w:p/>
    <w:p/>
    <w:p/>
    <w:p/>
    <w:p/>
    <w:p/>
    <w:p/>
    <w:p/>
    <w:p>
      <w:pPr>
        <w:pStyle w:val="Heading1"/>
      </w:pPr>
      <w:r>
        <w:t xml:space="preserve">3. The home environment</w:t>
      </w:r>
    </w:p>
    <w:p>
      <w:pPr>
        <w:pStyle w:val="Guidance"/>
      </w:pPr>
      <w:r>
        <w:t xml:space="preserve">Walk the routes the person actually takes, with them: bed to bathroom at night, chair to kitchen, front door. The home is theirs; record what they are willing to change, not just what looks wrong to you.</w:t>
      </w:r>
    </w:p>
    <w:p>
      <w:pPr>
        <w:pStyle w:val="Guidance"/>
      </w:pPr>
      <w:r>
        <w:t xml:space="preserve">Prompts: rugs, clutter and trailing cables on those routes; lighting, especially the night route to the bathroom; stairs and rails; the bathroom (grab rails, mats, access); pets underfoot; equipment condition and whether it is actually used.</w:t>
      </w:r>
    </w:p>
    <w:p/>
    <w:p/>
    <w:p/>
    <w:p/>
    <w:p/>
    <w:p/>
    <w:p/>
    <w:p/>
    <w:p>
      <w:pPr>
        <w:pStyle w:val="Heading1"/>
      </w:pPr>
      <w:r>
        <w:t xml:space="preserve">4. What the person can and wants to do for themselves</w:t>
      </w:r>
    </w:p>
    <w:p>
      <w:pPr>
        <w:pStyle w:val="Guidance"/>
      </w:pPr>
      <w:r>
        <w:t xml:space="preserve">Record what the person can do, wants to keep doing, and their own view of the risk. Frame risk as how we help them keep doing this safely, not as a list of things to stop.</w:t>
      </w:r>
    </w:p>
    <w:p>
      <w:pPr>
        <w:pStyle w:val="Guidance"/>
      </w:pPr>
      <w:r>
        <w:t xml:space="preserve">What good looks like: "a walk to the corner shop with an agreed check-in" rather than "do not allow to leave the property". Enabling with safeguards, not blanket restrictions.</w:t>
      </w:r>
    </w:p>
    <w:p/>
    <w:p/>
    <w:p/>
    <w:p/>
    <w:p/>
    <w:p>
      <w:pPr>
        <w:pStyle w:val="Heading1"/>
      </w:pPr>
      <w:r>
        <w:t xml:space="preserve">5. Agreed safeguards, each with its reason</w:t>
      </w:r>
    </w:p>
    <w:p>
      <w:pPr>
        <w:pStyle w:val="Guidance"/>
      </w:pPr>
      <w:r>
        <w:t xml:space="preserve">List the safeguards agreed with the person and give the reason for every one. Any safeguard that is a hard line for carers belongs in the care plan's fixed boundaries too.</w:t>
      </w:r>
    </w:p>
    <w:p>
      <w:pPr>
        <w:pStyle w:val="Guidance"/>
      </w:pPr>
      <w:r>
        <w:t xml:space="preserve">What good looks like: specific and reasoned. "Bedside lamp left on at night since the December fall" beats "ensure environment is safe".</w:t>
      </w:r>
    </w:p>
    <w:p/>
    <w:p/>
    <w:p/>
    <w:p/>
    <w:p/>
    <w:p/>
    <w:p>
      <w:pPr>
        <w:pStyle w:val="Heading1"/>
      </w:pPr>
      <w:r>
        <w:t xml:space="preserve">6. If a fall happens: the post-fall plan</w:t>
      </w:r>
    </w:p>
    <w:p>
      <w:pPr>
        <w:pStyle w:val="Guidance"/>
      </w:pPr>
      <w:r>
        <w:t xml:space="preserve">Record the agency's agreed plan so a lone-working carer does not have to improvise: how they summon help, who is called and in what order, how the fall is recorded and reported, and who supports the carer afterwards.</w:t>
      </w:r>
    </w:p>
    <w:p>
      <w:pPr>
        <w:pStyle w:val="Guidance"/>
      </w:pPr>
      <w:r>
        <w:t xml:space="preserve">What good looks like: names and numbers, not roles alone. On a lone-working visit the plan is only as good as what one carer can do from the hallway.</w:t>
      </w:r>
    </w:p>
    <w:p/>
    <w:p/>
    <w:p/>
    <w:p/>
    <w:p/>
    <w:p/>
    <w:p>
      <w:pPr>
        <w:pStyle w:val="Heading1"/>
      </w:pPr>
      <w:r>
        <w:t xml:space="preserve">7. Review date and triggers</w:t>
      </w:r>
    </w:p>
    <w:p>
      <w:pPr>
        <w:pStyle w:val="Guidance"/>
      </w:pPr>
      <w:r>
        <w:t xml:space="preserve">Set the planned review date and list the events that trigger an earlier reassessment: a fall, a hospital stay, a medication change, or a change in how the person is coping.</w:t>
      </w:r>
    </w:p>
    <w:p>
      <w:pPr>
        <w:pStyle w:val="Guidance"/>
      </w:pPr>
      <w:r>
        <w:t xml:space="preserve">What good looks like: a visible review rhythm. An assessment that has not moved since the last fall is evidence of a process that is not working.</w:t>
      </w:r>
    </w:p>
    <w:p/>
    <w:p/>
    <w:p/>
    <w:sectPr>
      <w:pgSz w:w="11906" w:h="16838"/>
      <w:pgMar w:top="1134" w:right="1134" w:bottom="1134" w:left="1134"/>
    </w:sectPr>
  </w:body>
</w:document>
</file>

<file path=word/styles.xml><?xml version="1.0" encoding="utf-8"?>
<w:styles xmlns:w="http://schemas.openxmlformats.org/wordprocessingml/2006/main">
  <w:docDefaults>
    <w:rPrDefault>
      <w:rPr>
        <w:rFonts w:ascii="Calibri" w:hAnsi="Calibri"/>
        <w:sz w:val="22"/>
      </w:rPr>
    </w:rPrDefault>
    <w:pPrDefault>
      <w:pPr>
        <w:spacing w:after="120"/>
      </w:pPr>
    </w:pPrDefault>
  </w:docDefaults>
  <w:style w:type="paragraph" w:styleId="Normal" w:default="1">
    <w:name w:val="Normal"/>
  </w:style>
  <w:style w:type="paragraph" w:styleId="Title">
    <w:name w:val="Title"/>
    <w:basedOn w:val="Normal"/>
    <w:pPr>
      <w:spacing w:after="240"/>
    </w:pPr>
    <w:rPr>
      <w:b/>
      <w:sz w:val="48"/>
      <w:color w:val="1A2238"/>
    </w:rPr>
  </w:style>
  <w:style w:type="paragraph" w:styleId="Heading1">
    <w:name w:val="Heading 1"/>
    <w:basedOn w:val="Normal"/>
    <w:pPr>
      <w:spacing w:before="360" w:after="160"/>
      <w:outlineLvl w:val="0"/>
    </w:pPr>
    <w:rPr>
      <w:b/>
      <w:sz w:val="30"/>
      <w:color w:val="1257B5"/>
    </w:rPr>
  </w:style>
  <w:style w:type="paragraph" w:styleId="Guidance">
    <w:name w:val="Guidance"/>
    <w:basedOn w:val="Normal"/>
    <w:rPr>
      <w:i/>
      <w:color w:val="4A5273"/>
    </w:rPr>
  </w:style>
  <w:style w:type="paragraph" w:styleId="Field">
    <w:name w:val="Field"/>
    <w:basedOn w:val="Normal"/>
    <w:rPr>
      <w:b/>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s>
</file>